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77B3E">
      <w:pPr>
        <w:bidi w:val="0"/>
        <w:spacing w:after="280" w:afterAutospacing="1"/>
        <w:jc w:val="center"/>
      </w:pPr>
      <w:r>
        <w:rPr>
          <w:b/>
          <w:bCs/>
          <w:color w:val="003856"/>
          <w:sz w:val="36"/>
          <w:szCs w:val="36"/>
          <w:rtl w:val="0"/>
        </w:rPr>
        <w:t>NORMAS PARA QUE LOS FIDEICOMISOS MERCANTILES SE PUEDAN TITULARIZAR</w:t>
      </w:r>
    </w:p>
    <w:p>
      <w:pPr>
        <w:bidi w:val="0"/>
        <w:spacing w:after="280" w:afterAutospacing="1"/>
        <w:jc w:val="left"/>
        <w:rPr>
          <w:color w:val="003856"/>
          <w:sz w:val="24"/>
          <w:szCs w:val="24"/>
          <w:rtl w:val="0"/>
        </w:rPr>
      </w:pPr>
      <w:r>
        <w:rPr>
          <w:color w:val="003856"/>
          <w:sz w:val="24"/>
          <w:szCs w:val="24"/>
          <w:rtl w:val="0"/>
        </w:rPr>
        <w:t>Resolución del Consejo Nacional de Valores 9</w:t>
      </w:r>
      <w:r>
        <w:rPr>
          <w:rtl w:val="0"/>
        </w:rPr>
        <w:br/>
      </w:r>
      <w:r>
        <w:rPr>
          <w:color w:val="003856"/>
          <w:sz w:val="24"/>
          <w:szCs w:val="24"/>
          <w:rtl w:val="0"/>
        </w:rPr>
        <w:t>Registro Oficial 6 de 23-ene.-2007</w:t>
      </w:r>
      <w:r>
        <w:rPr>
          <w:rtl w:val="0"/>
        </w:rPr>
        <w:br/>
      </w:r>
      <w:r>
        <w:rPr>
          <w:color w:val="003856"/>
          <w:sz w:val="24"/>
          <w:szCs w:val="24"/>
          <w:rtl w:val="0"/>
        </w:rPr>
        <w:t>Estado: Vigente</w:t>
      </w:r>
      <w:r>
        <w:rPr>
          <w:rtl w:val="0"/>
        </w:rPr>
        <w:br/>
      </w:r>
      <w:r>
        <w:rPr>
          <w:rtl w:val="0"/>
        </w:rPr>
        <w:br/>
      </w:r>
    </w:p>
    <w:p>
      <w:pPr>
        <w:bidi w:val="0"/>
        <w:spacing w:after="280" w:afterAutospacing="1"/>
        <w:jc w:val="left"/>
        <w:rPr>
          <w:rtl w:val="0"/>
        </w:rPr>
      </w:pPr>
      <w:r>
        <w:rPr>
          <w:rtl w:val="0"/>
        </w:rPr>
        <w:t>No. CNV-009-2006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EL CONSEJO NACIONAL DE VALORES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Considerando: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Que, de conformidad con lo dispuesto en el numeral 11 del artículo 9 de la Codificación de la Ley de Mercado de Valores, es atribución del Consejo Nacional de Valores impulsar el desarrollo del mercado de valores; regular los procesos de titularización y su oferta pública; así como la información que debe provenir de estos procesos para la difusión al público;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Que, con el objeto de que los fideicomisos mercantiles que han efectuado procesos de captación de recursos del público, llevados a cabo con anterioridad a que se contemple en nuestra legislación la figura de la titularización, se ajusten formalmente a un proceso de titularización y puedan emitir valores de participación; es necesario contar con disposiciones que regulen tal proceso; y,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En ejercicio de sus facultades legales y reglamentarias.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Resuelve: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1</w:t>
      </w:r>
      <w:r>
        <w:rPr>
          <w:rtl w:val="0"/>
        </w:rPr>
        <w:t>.- Expedir las normas para que los fideicomisos mercantiles que hayan efectuado procesos de captación de recursos del público, que sean negocios en marcha y que se hayan constituido con anterioridad a la vigencia de la Ley de Mercado de Valores, publicada en el Registro Oficial número 367 de 23 de julio de 1998, se puedan ajustar a un proceso de titularización y por ende emitir valores de participación.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1</w:t>
      </w:r>
      <w:r>
        <w:rPr>
          <w:rtl w:val="0"/>
        </w:rPr>
        <w:t>.- Características.- Los fideicomisos mercantiles constituidos antes de la vigencia de la Ley de Mercado de Valores, publicada en el Registro Oficial número 367 de 23 de julio de 1998 podrán acogerse a las disposiciones contenidas en el presente documento, siempre y cuando tengan las siguientes características: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1. Haberse constituido con anterioridad a la vigencia de la Ley de Mercado de Valores referida en el presente artículo.</w:t>
      </w:r>
      <w:r>
        <w:rPr>
          <w:rtl w:val="0"/>
        </w:rPr>
        <w:br/>
      </w:r>
      <w:r>
        <w:rPr>
          <w:rtl w:val="0"/>
        </w:rPr>
        <w:t>2. Haber efectuado procesos de captación de recursos del público.</w:t>
      </w:r>
      <w:r>
        <w:rPr>
          <w:rtl w:val="0"/>
        </w:rPr>
        <w:br/>
      </w:r>
      <w:r>
        <w:rPr>
          <w:rtl w:val="0"/>
        </w:rPr>
        <w:t>3. Ser negocios en marcha.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2</w:t>
      </w:r>
      <w:r>
        <w:rPr>
          <w:rtl w:val="0"/>
        </w:rPr>
        <w:t>.- Reforma del fideicomiso mercantil.- Los fideicomisos mercantiles que opten por este mecanismo, deberán reformarse con el objeto de incluir todas las disposiciones relativas a procesos de titularización previstos en la Codificación de la Ley de Mercado de Valores y en la Codificación de Resoluciones de Consejo Nacional de Valores. Para tal efecto, deberán contar con la aprobación de los tenedores de los derechos fiduciarios o del máximo organismo de gobierno, que se encuentre contemplado en el contrato del fideicomiso mercantil y que tenga atribuciones suficientes para pronunciarse al respecto.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3</w:t>
      </w:r>
      <w:r>
        <w:rPr>
          <w:rtl w:val="0"/>
        </w:rPr>
        <w:t>.- Colocación.- El proceso de colocación primaria deberá realizarse a través de oferta pública dirigida, a los beneficiarios del fideicomiso mercantil, en cualquiera de las bolsas de valores del país. La negociación primaria de estos valores no marcará precio.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4</w:t>
      </w:r>
      <w:r>
        <w:rPr>
          <w:rtl w:val="0"/>
        </w:rPr>
        <w:t>.- Prospecto de oferta pública.- Las condiciones de la oferta pública primaria dirigida, constarán en el prospecto de oferta pública; en el cual, entre otras, deberá identificarse claramente a qué inversionistas está dirigida.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Para efectos de la negociación secundaria, en el prospecto de oferta pública, se indicará la actual situación económica y financiera del fideicomiso mercantil; el valor patrimonial de los valores de titularización, sustentado en una valorización efectuada por peritos del ramo; los beneficios a que tendría derecho el adquirente de los mismos; y, cualquier otra información que pudiere afectar los derechos de los inversionistas.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5</w:t>
      </w:r>
      <w:r>
        <w:rPr>
          <w:rtl w:val="0"/>
        </w:rPr>
        <w:t>.- Negociación secundaria.- La negociación secundaria de estos valores sólo se podrá realizar luego de que los mismos hayan sido colocados en su totalidad, en el mercado primario, a los inversionistas originales.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C40606"/>
          <w:rtl w:val="0"/>
        </w:rPr>
        <w:t>Art. 6</w:t>
      </w:r>
      <w:r>
        <w:rPr>
          <w:rtl w:val="0"/>
        </w:rPr>
        <w:t>.- Proceso de aprobación.- Los procesos a los que hace referencia la presente resolución, serán aprobados por la Superintendencia de Compañías, una vez que se haya verificado el cumplimiento de las disposiciones referentes a titularización, oferta pública y las demás que sean aplicables, previstas en la Codificación de la Ley de Mercado de Valores y en la Codificación de Resoluciones de Consejo Nacional de Valores; así como también, los requisitos sobre protección a los inversionistas, que la Superintendencia de Compañías pudiera establecer, en consideración a la particularidad de cada fideicomiso mercantil.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DISPOSICION FINAL.- La presente resolución entrará en vigencia a partir de su publicación en el Registro Oficial.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Comuníquese y publíquese.- Dada y firmada en Quito, Distrito Metropolitano, a los veinte y un días del mes de noviembre del 2006.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f.) Fabián Albuja Chaves, Superintendente de Compañías, Presidente del Consejo Nacional de Valores.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Es fiel copia del original que reposa en los archivos de esta Secretaría.</w:t>
      </w:r>
      <w:r>
        <w:rPr>
          <w:rtl w:val="0"/>
        </w:rPr>
        <w:br/>
      </w:r>
      <w:r>
        <w:rPr>
          <w:rtl w:val="0"/>
        </w:rPr>
        <w:br/>
      </w:r>
      <w:r>
        <w:rPr>
          <w:rtl w:val="0"/>
        </w:rPr>
        <w:t>f.) Dra. Marcia Villalobos de Gangotena, Secretaria del Consejo Nacional de Valores.</w:t>
      </w:r>
    </w:p>
    <w:sectPr>
      <w:headerReference w:type="even" r:id="rId4"/>
      <w:headerReference w:type="default" r:id="rId5"/>
      <w:headerReference w:type="firs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height:10pt;margin-left:0;margin-top:50pt;mso-position-horizontal:center;mso-position-horizontal-relative:page;mso-position-vertical-relative:bottom-margin-area;position:absolute;width:175pt;z-index:251662336" fillcolor="#008b8b" strokecolor="none">
          <v:textpath style="font-family:&quot;Arial&quot;" string="LEXIS FINDER - http://www.lexis.com.ec"/>
          <w10:wrap anchorx="page"/>
        </v:shape>
      </w:pict>
    </w:r>
    <w:r>
      <w:rPr>
        <w:b/>
        <w:bCs/>
        <w:color w:val="003856"/>
        <w:sz w:val="36"/>
        <w:szCs w:val="36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height:11.25pt;margin-left:-50pt;margin-top:20pt;mso-position-horizontal-relative:right-margin-area;mso-position-vertical-relative:top-margin-area;position:absolute;width:118.5pt;z-index:251663360">
          <v:imagedata r:id="rId1" o:title=""/>
          <w10:wrap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height:10pt;margin-left:0;margin-top:50pt;mso-position-horizontal:center;mso-position-horizontal-relative:page;mso-position-vertical-relative:bottom-margin-area;position:absolute;width:175pt;z-index:251658240" fillcolor="#008b8b" strokecolor="none">
          <v:textpath style="font-family:&quot;Arial&quot;" string="LEXIS FINDER - http://www.lexis.com.ec"/>
          <w10:wrap anchorx="page"/>
        </v:shape>
      </w:pict>
    </w:r>
    <w:r>
      <w:rPr>
        <w:b/>
        <w:bCs/>
        <w:color w:val="003856"/>
        <w:sz w:val="36"/>
        <w:szCs w:val="36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height:11.25pt;margin-left:-50pt;margin-top:20pt;mso-position-horizontal-relative:right-margin-area;mso-position-vertical-relative:top-margin-area;position:absolute;width:118.5pt;z-index:251659264">
          <v:imagedata r:id="rId1" o:title=""/>
          <w10:wrap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height:10pt;margin-left:0;margin-top:50pt;mso-position-horizontal:center;mso-position-horizontal-relative:page;mso-position-vertical-relative:bottom-margin-area;position:absolute;width:175pt;z-index:251660288" fillcolor="#008b8b" strokecolor="none">
          <v:textpath style="font-family:&quot;Arial&quot;" string="LEXIS FINDER - http://www.lexis.com.ec"/>
          <w10:wrap anchorx="page"/>
        </v:shape>
      </w:pict>
    </w:r>
    <w:r>
      <w:rPr>
        <w:b/>
        <w:bCs/>
        <w:color w:val="003856"/>
        <w:sz w:val="36"/>
        <w:szCs w:val="36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height:11.25pt;margin-left:-50pt;margin-top:20pt;mso-position-horizontal-relative:right-margin-area;mso-position-vertical-relative:top-margin-area;position:absolute;width:118.5pt;z-index:251661312">
          <v:imagedata r:id="rId1" o:title=""/>
          <w10:wrap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